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AD15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Times New Roman" w:eastAsia="方正小标宋简体" w:cs="Times New Roman"/>
          <w:b w:val="0"/>
          <w:bCs/>
          <w:kern w:val="0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b w:val="0"/>
          <w:bCs/>
          <w:kern w:val="0"/>
          <w:sz w:val="44"/>
          <w:szCs w:val="44"/>
        </w:rPr>
        <w:t>202</w:t>
      </w:r>
      <w:r>
        <w:rPr>
          <w:rFonts w:hint="eastAsia" w:ascii="方正小标宋简体" w:hAnsi="Times New Roman" w:eastAsia="方正小标宋简体" w:cs="Times New Roman"/>
          <w:b w:val="0"/>
          <w:bCs/>
          <w:kern w:val="0"/>
          <w:sz w:val="44"/>
          <w:szCs w:val="44"/>
          <w:lang w:val="en-US" w:eastAsia="zh-CN"/>
        </w:rPr>
        <w:t>3</w:t>
      </w:r>
      <w:r>
        <w:rPr>
          <w:rFonts w:hint="eastAsia" w:ascii="方正小标宋简体" w:hAnsi="Times New Roman" w:eastAsia="方正小标宋简体" w:cs="Times New Roman"/>
          <w:b w:val="0"/>
          <w:bCs/>
          <w:kern w:val="0"/>
          <w:sz w:val="44"/>
          <w:szCs w:val="44"/>
        </w:rPr>
        <w:t>年度项目支出绩效自评报告</w:t>
      </w:r>
    </w:p>
    <w:p w14:paraId="63725B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Times New Roman" w:eastAsia="方正小标宋简体" w:cs="Times New Roman"/>
          <w:b w:val="0"/>
          <w:bCs/>
          <w:kern w:val="0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b w:val="0"/>
          <w:bCs/>
          <w:kern w:val="0"/>
          <w:sz w:val="44"/>
          <w:szCs w:val="44"/>
        </w:rPr>
        <w:t>（</w:t>
      </w:r>
      <w:r>
        <w:rPr>
          <w:rFonts w:hint="eastAsia" w:ascii="方正小标宋简体" w:hAnsi="Times New Roman" w:eastAsia="方正小标宋简体" w:cs="Times New Roman"/>
          <w:b w:val="0"/>
          <w:bCs/>
          <w:kern w:val="0"/>
          <w:sz w:val="44"/>
          <w:szCs w:val="44"/>
          <w:lang w:val="en-US" w:eastAsia="zh-CN"/>
        </w:rPr>
        <w:t>自然资源利用与保护项</w:t>
      </w:r>
      <w:r>
        <w:rPr>
          <w:rFonts w:hint="eastAsia" w:ascii="方正小标宋简体" w:hAnsi="Times New Roman" w:eastAsia="方正小标宋简体" w:cs="Times New Roman"/>
          <w:b w:val="0"/>
          <w:bCs/>
          <w:kern w:val="0"/>
          <w:sz w:val="44"/>
          <w:szCs w:val="44"/>
        </w:rPr>
        <w:t>目）</w:t>
      </w:r>
    </w:p>
    <w:p w14:paraId="40B114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</w:p>
    <w:p w14:paraId="6FD772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一、项目概况</w:t>
      </w:r>
    </w:p>
    <w:p w14:paraId="3E81EF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lang w:val="en-US" w:eastAsia="zh-CN"/>
        </w:rPr>
        <w:t>（一）项目基本情况。</w:t>
      </w:r>
    </w:p>
    <w:p w14:paraId="563FB5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一是全面落实“田长制”。在全县设立县、乡、村级田长和副田长共计323人，村级网格员513人，开展巡田工作。巡田率达到200%以上，提交线索5条，处理率100%。二是强化建设用地报批。全力推动进城大道、G245绕城线等项目用地指标争取；完成火烧营综合物流产业园、砂石骨料生产基地项目、太阳坪教育康养城红星校区项目用地报批工作，取得4个批次559.41亩建设用地批文。三是推进耕地恢复工作。分解全县耕地补充恢复任务4004亩到各个乡镇，截至11月27日全县共计补充恢复耕地约822.32亩，达到省厅认定标准430亩；开展耕地“占补平衡”补充耕地工作项目，预计新增耕地面积约1000亩。</w:t>
      </w:r>
    </w:p>
    <w:p w14:paraId="3F11B9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lang w:val="en-US" w:eastAsia="zh-CN"/>
        </w:rPr>
        <w:t>（二）项目绩效目标。</w:t>
      </w:r>
    </w:p>
    <w:p w14:paraId="37DEEA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1.全面落实“田长制”。在全县设立县、乡、村级田长和副田长共计323人，村级网格员513人，开展巡田工作。巡田率达到200%以上，提交线索5条，处理率100%。2是强化建设用地报批。全力推动进城大道、G245绕城线等项目用地指标争取；完成火烧营综合物流产业园、砂石骨料生产基地项目、太阳坪教育康养城红星校区项目用地报批工作，取得4个批次559.41亩建设用地批文。3是推进耕地恢复工作。分解全县耕地补充恢复任务4004亩到各个乡镇，截至11月27日全县共计补充恢复耕地约822.32亩，达到省厅认定标准430亩；开展耕地“占补平衡”补充耕地工作项目，预计新增耕地面积约1000亩。</w:t>
      </w:r>
    </w:p>
    <w:p w14:paraId="3D4149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lang w:val="en-US" w:eastAsia="zh-CN"/>
        </w:rPr>
        <w:t>（三）项目自评步骤及方法。</w:t>
      </w:r>
    </w:p>
    <w:p w14:paraId="048FC2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绩效评价工作由财务室组织指导，业务股室归口负责。</w:t>
      </w:r>
    </w:p>
    <w:p w14:paraId="269606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1、财务室主要职责：负责绩效评价工作方案制定，负责指导各业务股室开展绩效评价工作，负责资金使用情况收集，负责项目绩效评价的汇总，负责撰写绩效评价汇报资料。</w:t>
      </w:r>
    </w:p>
    <w:p w14:paraId="76BEAA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2、业务股室主要职责：具体负责开展项目绩效评价，撰写项目绩效评价报告。</w:t>
      </w:r>
    </w:p>
    <w:p w14:paraId="4BDFEC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二、项目资金申报及使用情况</w:t>
      </w:r>
    </w:p>
    <w:p w14:paraId="20D9A2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lang w:val="en-US" w:eastAsia="zh-CN"/>
        </w:rPr>
        <w:t>（一）项目资金申报及批复情况。</w:t>
      </w:r>
    </w:p>
    <w:p w14:paraId="501559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年初部门预算88.1381万元，调整预算88.1381万元。</w:t>
      </w:r>
    </w:p>
    <w:p w14:paraId="646531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lang w:val="en-US" w:eastAsia="zh-CN"/>
        </w:rPr>
        <w:t>（二）资金计划、到位及使用情况</w:t>
      </w:r>
    </w:p>
    <w:p w14:paraId="15B8BA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1．资金计划。县级财政资金计划88.1381万元。</w:t>
      </w:r>
    </w:p>
    <w:p w14:paraId="152249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2．资金到位。县级财政资金到位88.1381万元。</w:t>
      </w:r>
    </w:p>
    <w:p w14:paraId="3330E7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3．资金使用。截至目前88.1381万已全部使用完毕。资金使用安全、规范，支付范围、支付标准、支付进度、支付依据等合规合法并与预算相符。其中支付1.田长制经费6.6万元。2.支付峨边彝族自治县国土空间生态修复规划（2021-2035）13.164万元。3.支付永久基本农田核实整改补足项目18.76万元。4支付峨边彝族自治县耕地后备资源调查评价5.78万元。5.支付2022年度耕地资源质量分类更新与监测4.6万元。6.支付生态保护21家矿山调查费等其他费用39.234万元。</w:t>
      </w:r>
    </w:p>
    <w:p w14:paraId="69865A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lang w:val="en-US" w:eastAsia="zh-CN"/>
        </w:rPr>
        <w:t>（三）项目财务管理情况。</w:t>
      </w:r>
    </w:p>
    <w:p w14:paraId="1DBF58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本单位财务管理制度健全，严格执行财务管理制度，账务处理及时，会计核算规范。</w:t>
      </w:r>
    </w:p>
    <w:p w14:paraId="409B6B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三、项目实施及管理情况</w:t>
      </w:r>
    </w:p>
    <w:p w14:paraId="2D4902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结合项目组织实施管理办法，重点围绕以下内容进行分析评价，并对自评中发现的问题分析说明。</w:t>
      </w:r>
    </w:p>
    <w:p w14:paraId="7DFB1C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lang w:val="en-US" w:eastAsia="zh-CN"/>
        </w:rPr>
        <w:t>（一）项目组织架构及实施流程。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本项目为日常运营维护类，国土空间生态保护股实施，我局对空间规划项目实施情况进行监督、管理。</w:t>
      </w:r>
    </w:p>
    <w:p w14:paraId="4A4769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lang w:val="en-US" w:eastAsia="zh-CN"/>
        </w:rPr>
        <w:t>（二）项目管理情况。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本项目实施单位严格执行相关法律法规及项目管理制度，严格按投标、政府采购、项目公示制等相关规定执行。</w:t>
      </w:r>
    </w:p>
    <w:p w14:paraId="46E90D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lang w:val="en-US" w:eastAsia="zh-CN"/>
        </w:rPr>
        <w:t>（三）项目监管情况。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我局对该项目运营维护进行监督、管理，若出现运行不正常情况，我局将按照相关法律法规对相应责任人进行处罚，并扣减相应费用。保障了该的正常运行。</w:t>
      </w:r>
    </w:p>
    <w:p w14:paraId="549C24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四、项目绩效情况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ab/>
      </w:r>
    </w:p>
    <w:p w14:paraId="29AEC1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lang w:val="en-US" w:eastAsia="zh-CN"/>
        </w:rPr>
        <w:t>（一）项目完成情况。</w:t>
      </w:r>
    </w:p>
    <w:p w14:paraId="322F1A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1，完成在全县设立县、乡、村级田长和副田长共计323人，村级网格员513人，开展巡田工作。巡田率达到200%以上，提交线索5条，处理率100%。2.完成建设用地报批。全力推动进城大道、G245绕城线等项目用地指标争取；完成火烧营综合物流产业园、砂石骨料生产基地项目、太阳坪教育康养城红星校区项目用地报批工作，取得4个批次559.41亩建设用地批文。3.完成推进耕地恢复工作。分解全县耕地补充恢复任务4004亩到各个乡镇，截至11月27日全县共计补充恢复耕地约822.32亩，达到省厅认定标准430亩；开展耕地“占补平衡”补充耕地工作项目，预计新增耕地面积约1000亩。4.完成峨边彝族自治县国土空间生态修复规划（2021-2035）5.完成永久基本农田核实整改补足项目。6完成峨边彝族自治县耕地后备资源调查评价及2022年度耕地资源质量分类更新与监测。</w:t>
      </w:r>
    </w:p>
    <w:p w14:paraId="1E7C8F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lang w:val="en-US" w:eastAsia="zh-CN"/>
        </w:rPr>
        <w:t>（二）项目效益情况。</w:t>
      </w:r>
    </w:p>
    <w:p w14:paraId="7C7D05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1.社会效益：保护耕地和林地，坚守红线。2.生态效益：保护生态环境。3.群众满意度达100％。</w:t>
      </w:r>
    </w:p>
    <w:p w14:paraId="6F501B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五、评价结论及建议</w:t>
      </w:r>
    </w:p>
    <w:p w14:paraId="70CC94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lang w:val="en-US" w:eastAsia="zh-CN"/>
        </w:rPr>
        <w:t>（一）评价结论。</w:t>
      </w:r>
    </w:p>
    <w:p w14:paraId="55B36B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该项目为运营维护类项目，正常运营维护，该项目完成了预定的绩效目标。</w:t>
      </w:r>
    </w:p>
    <w:p w14:paraId="2410C2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lang w:val="en-US" w:eastAsia="zh-CN"/>
        </w:rPr>
        <w:t>（二）存在的问题。</w:t>
      </w:r>
    </w:p>
    <w:p w14:paraId="7571B1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相关部门的配合不到位，资金拨付缓慢，影响项目进度实施。</w:t>
      </w:r>
    </w:p>
    <w:p w14:paraId="0A62AE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lang w:val="en-US" w:eastAsia="zh-CN"/>
        </w:rPr>
        <w:t>（三）相关建议。</w:t>
      </w:r>
    </w:p>
    <w:p w14:paraId="29E92C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年度预算安排给予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项目经费充足保障。</w:t>
      </w:r>
    </w:p>
    <w:p w14:paraId="5135FE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F6333F0-F4DE-4430-81E7-511694D70D98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3C823B33-C43F-4617-82AC-89165879680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0F9FC8F9-5822-47DD-A86B-D7765D1466D1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148D0054-B983-4A2F-92B0-70CAA2D97B6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C66E6C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61E1B7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61E1B7"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09520EEA"/>
    <w:rsid w:val="000B5C56"/>
    <w:rsid w:val="000C0389"/>
    <w:rsid w:val="000C4EC2"/>
    <w:rsid w:val="002B33F4"/>
    <w:rsid w:val="002F0B0C"/>
    <w:rsid w:val="00647173"/>
    <w:rsid w:val="006E7F50"/>
    <w:rsid w:val="006F3B0B"/>
    <w:rsid w:val="0078288B"/>
    <w:rsid w:val="007B6398"/>
    <w:rsid w:val="00A11448"/>
    <w:rsid w:val="00AD7C47"/>
    <w:rsid w:val="00B201D2"/>
    <w:rsid w:val="00BC2D8D"/>
    <w:rsid w:val="00BD6C51"/>
    <w:rsid w:val="00CF3894"/>
    <w:rsid w:val="00D00AF2"/>
    <w:rsid w:val="00E9244D"/>
    <w:rsid w:val="042A255D"/>
    <w:rsid w:val="05926AFC"/>
    <w:rsid w:val="05E82BC0"/>
    <w:rsid w:val="085D3A5A"/>
    <w:rsid w:val="08B324C9"/>
    <w:rsid w:val="09520EEA"/>
    <w:rsid w:val="0BB91FDA"/>
    <w:rsid w:val="11405FA6"/>
    <w:rsid w:val="14BF6728"/>
    <w:rsid w:val="17AF1790"/>
    <w:rsid w:val="1AD5692C"/>
    <w:rsid w:val="1AE259D8"/>
    <w:rsid w:val="1B6B1E72"/>
    <w:rsid w:val="1DB25902"/>
    <w:rsid w:val="1DC84A7A"/>
    <w:rsid w:val="1DD67A76"/>
    <w:rsid w:val="1E9D67E6"/>
    <w:rsid w:val="1ECA552B"/>
    <w:rsid w:val="1F443106"/>
    <w:rsid w:val="210F6661"/>
    <w:rsid w:val="211F73D7"/>
    <w:rsid w:val="224B0307"/>
    <w:rsid w:val="24C866CF"/>
    <w:rsid w:val="24CF426C"/>
    <w:rsid w:val="27C132BD"/>
    <w:rsid w:val="2835183D"/>
    <w:rsid w:val="28506605"/>
    <w:rsid w:val="2E8B0409"/>
    <w:rsid w:val="304545E8"/>
    <w:rsid w:val="30C96FC7"/>
    <w:rsid w:val="314D19A6"/>
    <w:rsid w:val="33097F77"/>
    <w:rsid w:val="344970D1"/>
    <w:rsid w:val="35026F4B"/>
    <w:rsid w:val="3BC767F9"/>
    <w:rsid w:val="3C277297"/>
    <w:rsid w:val="3CEA416A"/>
    <w:rsid w:val="3F5D194E"/>
    <w:rsid w:val="3FD634AE"/>
    <w:rsid w:val="403867F9"/>
    <w:rsid w:val="43DB5537"/>
    <w:rsid w:val="45AD5748"/>
    <w:rsid w:val="481E3C44"/>
    <w:rsid w:val="4D7A1880"/>
    <w:rsid w:val="4EAB7C41"/>
    <w:rsid w:val="553A7005"/>
    <w:rsid w:val="586826A7"/>
    <w:rsid w:val="5A8A265A"/>
    <w:rsid w:val="5F4F375E"/>
    <w:rsid w:val="60CC2038"/>
    <w:rsid w:val="6190479B"/>
    <w:rsid w:val="6CAB1F1B"/>
    <w:rsid w:val="6CF66DA6"/>
    <w:rsid w:val="6DFD5F26"/>
    <w:rsid w:val="7017614B"/>
    <w:rsid w:val="73DD4A86"/>
    <w:rsid w:val="752A648B"/>
    <w:rsid w:val="7866291A"/>
    <w:rsid w:val="7B4A02D1"/>
    <w:rsid w:val="7CC875CA"/>
    <w:rsid w:val="7E616DBB"/>
    <w:rsid w:val="7ED4682F"/>
    <w:rsid w:val="7F166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libri Light" w:hAnsi="Calibri Light" w:cs="Times New Roman"/>
      <w:b/>
      <w:bCs/>
      <w:sz w:val="32"/>
      <w:szCs w:val="32"/>
    </w:rPr>
  </w:style>
  <w:style w:type="paragraph" w:styleId="3">
    <w:name w:val="Body Text Indent"/>
    <w:basedOn w:val="1"/>
    <w:qFormat/>
    <w:uiPriority w:val="99"/>
    <w:pPr>
      <w:ind w:firstLine="538" w:firstLineChars="192"/>
    </w:pPr>
    <w:rPr>
      <w:rFonts w:ascii="宋体" w:hAnsi="宋体"/>
      <w:sz w:val="28"/>
    </w:rPr>
  </w:style>
  <w:style w:type="paragraph" w:styleId="4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First Indent 2"/>
    <w:basedOn w:val="3"/>
    <w:qFormat/>
    <w:uiPriority w:val="0"/>
    <w:pPr>
      <w:ind w:firstLine="420" w:firstLineChars="200"/>
    </w:pPr>
  </w:style>
  <w:style w:type="paragraph" w:customStyle="1" w:styleId="9">
    <w:name w:val="四号正文"/>
    <w:basedOn w:val="1"/>
    <w:qFormat/>
    <w:uiPriority w:val="99"/>
    <w:pPr>
      <w:spacing w:line="360" w:lineRule="auto"/>
    </w:pPr>
    <w:rPr>
      <w:rFonts w:ascii="??" w:hAnsi="??" w:cs="??"/>
      <w:color w:val="000000"/>
      <w:kern w:val="0"/>
      <w:sz w:val="28"/>
      <w:szCs w:val="28"/>
    </w:rPr>
  </w:style>
  <w:style w:type="character" w:customStyle="1" w:styleId="10">
    <w:name w:val="NormalCharacter"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1801</Words>
  <Characters>1992</Characters>
  <Lines>10</Lines>
  <Paragraphs>2</Paragraphs>
  <TotalTime>8</TotalTime>
  <ScaleCrop>false</ScaleCrop>
  <LinksUpToDate>false</LinksUpToDate>
  <CharactersWithSpaces>1993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2021-06-30T09:19:00Z</dcterms:created>
  <dc:creator>庞敏</dc:creator>
  <cp:lastModifiedBy>碧云天</cp:lastModifiedBy>
  <dcterms:modified xsi:type="dcterms:W3CDTF">2024-10-30T02:40:09Z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E68013FB90F6441A8DCB46EF74BDCC95_13</vt:lpwstr>
  </property>
</Properties>
</file>